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F2" w:rsidRDefault="00E46EF2" w:rsidP="00F42730">
      <w:pPr>
        <w:pStyle w:val="KeinLeerraum"/>
        <w:rPr>
          <w:rFonts w:ascii="Times New Roman" w:hAnsi="Times New Roman"/>
          <w:sz w:val="24"/>
          <w:szCs w:val="24"/>
        </w:rPr>
      </w:pPr>
      <w:bookmarkStart w:id="0" w:name="_GoBack"/>
      <w:bookmarkEnd w:id="0"/>
      <w:r>
        <w:rPr>
          <w:rFonts w:ascii="Times New Roman" w:hAnsi="Times New Roman"/>
          <w:sz w:val="24"/>
          <w:szCs w:val="24"/>
        </w:rPr>
        <w:t>IEEI-members – From Bob Wessels – July 2019</w:t>
      </w:r>
    </w:p>
    <w:p w:rsidR="00E46EF2" w:rsidRDefault="00E46EF2" w:rsidP="00F42730">
      <w:pPr>
        <w:pStyle w:val="KeinLeerraum"/>
        <w:rPr>
          <w:rFonts w:ascii="Times New Roman" w:hAnsi="Times New Roman"/>
          <w:sz w:val="24"/>
          <w:szCs w:val="24"/>
        </w:rPr>
      </w:pPr>
    </w:p>
    <w:p w:rsidR="00E46EF2" w:rsidRPr="00E46EF2" w:rsidRDefault="00045036" w:rsidP="00F42730">
      <w:pPr>
        <w:pStyle w:val="KeinLeerraum"/>
        <w:rPr>
          <w:rFonts w:ascii="Times New Roman" w:hAnsi="Times New Roman"/>
          <w:b/>
          <w:bCs/>
          <w:sz w:val="24"/>
          <w:szCs w:val="24"/>
        </w:rPr>
      </w:pPr>
      <w:r>
        <w:rPr>
          <w:rFonts w:ascii="Times New Roman" w:hAnsi="Times New Roman"/>
          <w:b/>
          <w:bCs/>
          <w:sz w:val="24"/>
          <w:szCs w:val="24"/>
        </w:rPr>
        <w:t>Legislative d</w:t>
      </w:r>
      <w:r w:rsidR="00E46EF2" w:rsidRPr="00E46EF2">
        <w:rPr>
          <w:rFonts w:ascii="Times New Roman" w:hAnsi="Times New Roman"/>
          <w:b/>
          <w:bCs/>
          <w:sz w:val="24"/>
          <w:szCs w:val="24"/>
        </w:rPr>
        <w:t>evelopments in the Netherlands</w:t>
      </w:r>
    </w:p>
    <w:p w:rsidR="00E46EF2" w:rsidRDefault="00E46EF2" w:rsidP="00F42730">
      <w:pPr>
        <w:pStyle w:val="KeinLeerraum"/>
        <w:rPr>
          <w:rFonts w:ascii="Times New Roman" w:hAnsi="Times New Roman"/>
          <w:sz w:val="24"/>
          <w:szCs w:val="24"/>
        </w:rPr>
      </w:pPr>
    </w:p>
    <w:p w:rsidR="000A49C5" w:rsidRDefault="00F42730" w:rsidP="00F42730">
      <w:pPr>
        <w:pStyle w:val="KeinLeerraum"/>
        <w:rPr>
          <w:rFonts w:ascii="Times New Roman" w:hAnsi="Times New Roman"/>
          <w:sz w:val="24"/>
          <w:szCs w:val="24"/>
        </w:rPr>
      </w:pPr>
      <w:r w:rsidRPr="00F42730">
        <w:rPr>
          <w:rFonts w:ascii="Times New Roman" w:hAnsi="Times New Roman"/>
          <w:sz w:val="24"/>
          <w:szCs w:val="24"/>
        </w:rPr>
        <w:t xml:space="preserve">The Dutch Bankruptcy Act (DBA) first entered into force in 1896. </w:t>
      </w:r>
      <w:r w:rsidR="000259E4">
        <w:rPr>
          <w:rFonts w:ascii="Times New Roman" w:hAnsi="Times New Roman"/>
          <w:sz w:val="24"/>
          <w:szCs w:val="24"/>
        </w:rPr>
        <w:t xml:space="preserve">Over the first 100 years </w:t>
      </w:r>
      <w:r w:rsidRPr="00F42730">
        <w:rPr>
          <w:rFonts w:ascii="Times New Roman" w:hAnsi="Times New Roman"/>
          <w:sz w:val="24"/>
          <w:szCs w:val="24"/>
        </w:rPr>
        <w:t xml:space="preserve">amendments were made over the years, the rules governing bankruptcy </w:t>
      </w:r>
      <w:r w:rsidR="000259E4">
        <w:rPr>
          <w:rFonts w:ascii="Times New Roman" w:hAnsi="Times New Roman"/>
          <w:sz w:val="24"/>
          <w:szCs w:val="24"/>
        </w:rPr>
        <w:t xml:space="preserve">liquidation </w:t>
      </w:r>
      <w:r w:rsidRPr="00F42730">
        <w:rPr>
          <w:rFonts w:ascii="Times New Roman" w:hAnsi="Times New Roman"/>
          <w:sz w:val="24"/>
          <w:szCs w:val="24"/>
        </w:rPr>
        <w:t>fundamentally remained the same.</w:t>
      </w:r>
      <w:r w:rsidR="000259E4">
        <w:rPr>
          <w:rFonts w:ascii="Times New Roman" w:hAnsi="Times New Roman"/>
          <w:sz w:val="24"/>
          <w:szCs w:val="24"/>
        </w:rPr>
        <w:t xml:space="preserve"> In 1998 special rules to deal with debt restructuring of natural persons have been included.</w:t>
      </w:r>
      <w:r w:rsidRPr="00F42730">
        <w:rPr>
          <w:rFonts w:ascii="Times New Roman" w:hAnsi="Times New Roman"/>
          <w:sz w:val="24"/>
          <w:szCs w:val="24"/>
        </w:rPr>
        <w:t xml:space="preserve"> </w:t>
      </w:r>
    </w:p>
    <w:p w:rsidR="000259E4" w:rsidRDefault="000A49C5" w:rsidP="00F42730">
      <w:pPr>
        <w:pStyle w:val="KeinLeerraum"/>
        <w:rPr>
          <w:rFonts w:ascii="Times New Roman" w:hAnsi="Times New Roman"/>
          <w:sz w:val="24"/>
          <w:szCs w:val="24"/>
        </w:rPr>
      </w:pPr>
      <w:r>
        <w:rPr>
          <w:rFonts w:ascii="Times New Roman" w:hAnsi="Times New Roman"/>
          <w:sz w:val="24"/>
          <w:szCs w:val="24"/>
        </w:rPr>
        <w:t xml:space="preserve">Early 2000, </w:t>
      </w:r>
      <w:r w:rsidR="000259E4">
        <w:rPr>
          <w:rFonts w:ascii="Times New Roman" w:hAnsi="Times New Roman"/>
          <w:sz w:val="24"/>
          <w:szCs w:val="24"/>
        </w:rPr>
        <w:t xml:space="preserve">eight </w:t>
      </w:r>
      <w:r>
        <w:rPr>
          <w:rFonts w:ascii="Times New Roman" w:hAnsi="Times New Roman"/>
          <w:sz w:val="24"/>
          <w:szCs w:val="24"/>
        </w:rPr>
        <w:t xml:space="preserve">years after the entry into force of the New Civil Code, an attempt was made to revise </w:t>
      </w:r>
      <w:r w:rsidR="000259E4">
        <w:rPr>
          <w:rFonts w:ascii="Times New Roman" w:hAnsi="Times New Roman"/>
          <w:sz w:val="24"/>
          <w:szCs w:val="24"/>
        </w:rPr>
        <w:t xml:space="preserve">the rather </w:t>
      </w:r>
      <w:r>
        <w:rPr>
          <w:rFonts w:ascii="Times New Roman" w:hAnsi="Times New Roman"/>
          <w:sz w:val="24"/>
          <w:szCs w:val="24"/>
        </w:rPr>
        <w:t xml:space="preserve">ineffective </w:t>
      </w:r>
      <w:r w:rsidR="000259E4">
        <w:rPr>
          <w:rFonts w:ascii="Times New Roman" w:hAnsi="Times New Roman"/>
          <w:sz w:val="24"/>
          <w:szCs w:val="24"/>
        </w:rPr>
        <w:t xml:space="preserve">procedure of </w:t>
      </w:r>
      <w:r>
        <w:rPr>
          <w:rFonts w:ascii="Times New Roman" w:hAnsi="Times New Roman"/>
          <w:sz w:val="24"/>
          <w:szCs w:val="24"/>
        </w:rPr>
        <w:t>postponement of payment (</w:t>
      </w:r>
      <w:proofErr w:type="spellStart"/>
      <w:r w:rsidRPr="000259E4">
        <w:rPr>
          <w:rFonts w:ascii="Times New Roman" w:hAnsi="Times New Roman"/>
          <w:i/>
          <w:iCs/>
          <w:sz w:val="24"/>
          <w:szCs w:val="24"/>
        </w:rPr>
        <w:t>surseance</w:t>
      </w:r>
      <w:proofErr w:type="spellEnd"/>
      <w:r w:rsidRPr="000259E4">
        <w:rPr>
          <w:rFonts w:ascii="Times New Roman" w:hAnsi="Times New Roman"/>
          <w:i/>
          <w:iCs/>
          <w:sz w:val="24"/>
          <w:szCs w:val="24"/>
        </w:rPr>
        <w:t xml:space="preserve"> van </w:t>
      </w:r>
      <w:proofErr w:type="spellStart"/>
      <w:r w:rsidRPr="000259E4">
        <w:rPr>
          <w:rFonts w:ascii="Times New Roman" w:hAnsi="Times New Roman"/>
          <w:i/>
          <w:iCs/>
          <w:sz w:val="24"/>
          <w:szCs w:val="24"/>
        </w:rPr>
        <w:t>betaling</w:t>
      </w:r>
      <w:proofErr w:type="spellEnd"/>
      <w:r>
        <w:rPr>
          <w:rFonts w:ascii="Times New Roman" w:hAnsi="Times New Roman"/>
          <w:sz w:val="24"/>
          <w:szCs w:val="24"/>
        </w:rPr>
        <w:t>). The Commissions plans in 2007</w:t>
      </w:r>
      <w:r w:rsidR="000259E4">
        <w:rPr>
          <w:rFonts w:ascii="Times New Roman" w:hAnsi="Times New Roman"/>
          <w:sz w:val="24"/>
          <w:szCs w:val="24"/>
        </w:rPr>
        <w:t xml:space="preserve"> were in general welcomes in practice and by courts, however were not prioritized in politics. </w:t>
      </w:r>
    </w:p>
    <w:p w:rsidR="000A49C5" w:rsidRDefault="003C289B" w:rsidP="00F42730">
      <w:pPr>
        <w:pStyle w:val="KeinLeerraum"/>
        <w:rPr>
          <w:rFonts w:ascii="Times New Roman" w:hAnsi="Times New Roman"/>
          <w:sz w:val="24"/>
          <w:szCs w:val="24"/>
        </w:rPr>
      </w:pPr>
      <w:r>
        <w:rPr>
          <w:rFonts w:ascii="Times New Roman" w:hAnsi="Times New Roman"/>
          <w:sz w:val="24"/>
          <w:szCs w:val="24"/>
        </w:rPr>
        <w:t xml:space="preserve">Some 6-7 years </w:t>
      </w:r>
      <w:r w:rsidR="00F42730" w:rsidRPr="00F42730">
        <w:rPr>
          <w:rFonts w:ascii="Times New Roman" w:hAnsi="Times New Roman"/>
          <w:sz w:val="24"/>
          <w:szCs w:val="24"/>
        </w:rPr>
        <w:t xml:space="preserve">voices </w:t>
      </w:r>
      <w:r w:rsidR="000A49C5">
        <w:rPr>
          <w:rFonts w:ascii="Times New Roman" w:hAnsi="Times New Roman"/>
          <w:sz w:val="24"/>
          <w:szCs w:val="24"/>
        </w:rPr>
        <w:t xml:space="preserve">became louder </w:t>
      </w:r>
      <w:r w:rsidR="00F42730" w:rsidRPr="00F42730">
        <w:rPr>
          <w:rFonts w:ascii="Times New Roman" w:hAnsi="Times New Roman"/>
          <w:sz w:val="24"/>
          <w:szCs w:val="24"/>
        </w:rPr>
        <w:t xml:space="preserve">that </w:t>
      </w:r>
      <w:r>
        <w:rPr>
          <w:rFonts w:ascii="Times New Roman" w:hAnsi="Times New Roman"/>
          <w:sz w:val="24"/>
          <w:szCs w:val="24"/>
        </w:rPr>
        <w:t xml:space="preserve">the DBA </w:t>
      </w:r>
      <w:r w:rsidR="00F42730" w:rsidRPr="00F42730">
        <w:rPr>
          <w:rFonts w:ascii="Times New Roman" w:hAnsi="Times New Roman"/>
          <w:sz w:val="24"/>
          <w:szCs w:val="24"/>
        </w:rPr>
        <w:t xml:space="preserve">needed a revision, </w:t>
      </w:r>
      <w:r>
        <w:rPr>
          <w:rFonts w:ascii="Times New Roman" w:hAnsi="Times New Roman"/>
          <w:sz w:val="24"/>
          <w:szCs w:val="24"/>
        </w:rPr>
        <w:t xml:space="preserve">especially to create a functional procedure re restructuring of near to insolvent, but viable businesses. This </w:t>
      </w:r>
      <w:r w:rsidR="00F42730" w:rsidRPr="00F42730">
        <w:rPr>
          <w:rFonts w:ascii="Times New Roman" w:hAnsi="Times New Roman"/>
          <w:sz w:val="24"/>
          <w:szCs w:val="24"/>
        </w:rPr>
        <w:t xml:space="preserve">ultimately led to the launch of the legislative program </w:t>
      </w:r>
      <w:r>
        <w:rPr>
          <w:rFonts w:ascii="Times New Roman" w:hAnsi="Times New Roman"/>
          <w:sz w:val="24"/>
          <w:szCs w:val="24"/>
        </w:rPr>
        <w:t>‘</w:t>
      </w:r>
      <w:r w:rsidR="00F42730" w:rsidRPr="00F42730">
        <w:rPr>
          <w:rFonts w:ascii="Times New Roman" w:hAnsi="Times New Roman"/>
          <w:sz w:val="24"/>
          <w:szCs w:val="24"/>
        </w:rPr>
        <w:t>Recalibration of Bankruptcy Law</w:t>
      </w:r>
      <w:r>
        <w:rPr>
          <w:rFonts w:ascii="Times New Roman" w:hAnsi="Times New Roman"/>
          <w:sz w:val="24"/>
          <w:szCs w:val="24"/>
        </w:rPr>
        <w:t>’</w:t>
      </w:r>
      <w:r w:rsidR="00F42730" w:rsidRPr="00F42730">
        <w:rPr>
          <w:rFonts w:ascii="Times New Roman" w:hAnsi="Times New Roman"/>
          <w:sz w:val="24"/>
          <w:szCs w:val="24"/>
        </w:rPr>
        <w:t xml:space="preserve"> (</w:t>
      </w:r>
      <w:proofErr w:type="spellStart"/>
      <w:r w:rsidR="00F42730" w:rsidRPr="003C289B">
        <w:rPr>
          <w:rFonts w:ascii="Times New Roman" w:hAnsi="Times New Roman"/>
          <w:i/>
          <w:iCs/>
          <w:sz w:val="24"/>
          <w:szCs w:val="24"/>
        </w:rPr>
        <w:t>Herijking</w:t>
      </w:r>
      <w:proofErr w:type="spellEnd"/>
      <w:r w:rsidR="00F42730" w:rsidRPr="003C289B">
        <w:rPr>
          <w:rFonts w:ascii="Times New Roman" w:hAnsi="Times New Roman"/>
          <w:i/>
          <w:iCs/>
          <w:sz w:val="24"/>
          <w:szCs w:val="24"/>
        </w:rPr>
        <w:t xml:space="preserve"> </w:t>
      </w:r>
      <w:proofErr w:type="spellStart"/>
      <w:r w:rsidR="00F42730" w:rsidRPr="003C289B">
        <w:rPr>
          <w:rFonts w:ascii="Times New Roman" w:hAnsi="Times New Roman"/>
          <w:i/>
          <w:iCs/>
          <w:sz w:val="24"/>
          <w:szCs w:val="24"/>
        </w:rPr>
        <w:t>Faillissementsrecht</w:t>
      </w:r>
      <w:proofErr w:type="spellEnd"/>
      <w:r w:rsidR="00F42730" w:rsidRPr="00F42730">
        <w:rPr>
          <w:rFonts w:ascii="Times New Roman" w:hAnsi="Times New Roman"/>
          <w:sz w:val="24"/>
          <w:szCs w:val="24"/>
        </w:rPr>
        <w:t xml:space="preserve">) in 2012. </w:t>
      </w:r>
    </w:p>
    <w:p w:rsidR="000A49C5" w:rsidRDefault="000A49C5" w:rsidP="00F42730">
      <w:pPr>
        <w:pStyle w:val="KeinLeerraum"/>
        <w:rPr>
          <w:rFonts w:ascii="Times New Roman" w:hAnsi="Times New Roman"/>
          <w:sz w:val="24"/>
          <w:szCs w:val="24"/>
        </w:rPr>
      </w:pPr>
    </w:p>
    <w:p w:rsidR="00F42730" w:rsidRDefault="00F42730" w:rsidP="00F42730">
      <w:pPr>
        <w:pStyle w:val="KeinLeerraum"/>
        <w:rPr>
          <w:rFonts w:ascii="Times New Roman" w:hAnsi="Times New Roman"/>
          <w:sz w:val="24"/>
          <w:szCs w:val="24"/>
        </w:rPr>
      </w:pPr>
      <w:r w:rsidRPr="00F42730">
        <w:rPr>
          <w:rFonts w:ascii="Times New Roman" w:hAnsi="Times New Roman"/>
          <w:sz w:val="24"/>
          <w:szCs w:val="24"/>
        </w:rPr>
        <w:t xml:space="preserve">The legislative program </w:t>
      </w:r>
      <w:r w:rsidR="00542F93" w:rsidRPr="00F42730">
        <w:rPr>
          <w:rFonts w:ascii="Times New Roman" w:hAnsi="Times New Roman"/>
          <w:sz w:val="24"/>
          <w:szCs w:val="24"/>
        </w:rPr>
        <w:t xml:space="preserve">aims to improve Dutch insolvency law by way of three main </w:t>
      </w:r>
      <w:r w:rsidR="003C289B">
        <w:rPr>
          <w:rFonts w:ascii="Times New Roman" w:hAnsi="Times New Roman"/>
          <w:sz w:val="24"/>
          <w:szCs w:val="24"/>
        </w:rPr>
        <w:t xml:space="preserve">pillars or </w:t>
      </w:r>
      <w:r w:rsidR="00542F93" w:rsidRPr="00F42730">
        <w:rPr>
          <w:rFonts w:ascii="Times New Roman" w:hAnsi="Times New Roman"/>
          <w:sz w:val="24"/>
          <w:szCs w:val="24"/>
        </w:rPr>
        <w:t xml:space="preserve">focuses: </w:t>
      </w:r>
      <w:r>
        <w:rPr>
          <w:rFonts w:ascii="Times New Roman" w:hAnsi="Times New Roman"/>
          <w:sz w:val="24"/>
          <w:szCs w:val="24"/>
        </w:rPr>
        <w:t xml:space="preserve">(i) combatting </w:t>
      </w:r>
      <w:r w:rsidR="00542F93" w:rsidRPr="00F42730">
        <w:rPr>
          <w:rFonts w:ascii="Times New Roman" w:hAnsi="Times New Roman"/>
          <w:sz w:val="24"/>
          <w:szCs w:val="24"/>
        </w:rPr>
        <w:t xml:space="preserve">insolvency fraud; </w:t>
      </w:r>
      <w:r>
        <w:rPr>
          <w:rFonts w:ascii="Times New Roman" w:hAnsi="Times New Roman"/>
          <w:sz w:val="24"/>
          <w:szCs w:val="24"/>
        </w:rPr>
        <w:t xml:space="preserve">(ii) introduction of </w:t>
      </w:r>
      <w:r w:rsidR="00542F93" w:rsidRPr="00F42730">
        <w:rPr>
          <w:rFonts w:ascii="Times New Roman" w:hAnsi="Times New Roman"/>
          <w:sz w:val="24"/>
          <w:szCs w:val="24"/>
        </w:rPr>
        <w:t xml:space="preserve">the ability to restructure companies; and </w:t>
      </w:r>
      <w:r>
        <w:rPr>
          <w:rFonts w:ascii="Times New Roman" w:hAnsi="Times New Roman"/>
          <w:sz w:val="24"/>
          <w:szCs w:val="24"/>
        </w:rPr>
        <w:t xml:space="preserve">(iii) generally </w:t>
      </w:r>
      <w:proofErr w:type="spellStart"/>
      <w:r w:rsidR="00542F93" w:rsidRPr="00F42730">
        <w:rPr>
          <w:rFonts w:ascii="Times New Roman" w:hAnsi="Times New Roman"/>
          <w:sz w:val="24"/>
          <w:szCs w:val="24"/>
        </w:rPr>
        <w:t>moderni</w:t>
      </w:r>
      <w:r w:rsidR="00C509D4">
        <w:rPr>
          <w:rFonts w:ascii="Times New Roman" w:hAnsi="Times New Roman"/>
          <w:sz w:val="24"/>
          <w:szCs w:val="24"/>
        </w:rPr>
        <w:t>s</w:t>
      </w:r>
      <w:r w:rsidR="000A49C5">
        <w:rPr>
          <w:rFonts w:ascii="Times New Roman" w:hAnsi="Times New Roman"/>
          <w:sz w:val="24"/>
          <w:szCs w:val="24"/>
        </w:rPr>
        <w:t>at</w:t>
      </w:r>
      <w:r w:rsidR="00542F93" w:rsidRPr="00F42730">
        <w:rPr>
          <w:rFonts w:ascii="Times New Roman" w:hAnsi="Times New Roman"/>
          <w:sz w:val="24"/>
          <w:szCs w:val="24"/>
        </w:rPr>
        <w:t>i</w:t>
      </w:r>
      <w:r w:rsidR="000A49C5">
        <w:rPr>
          <w:rFonts w:ascii="Times New Roman" w:hAnsi="Times New Roman"/>
          <w:sz w:val="24"/>
          <w:szCs w:val="24"/>
        </w:rPr>
        <w:t>o</w:t>
      </w:r>
      <w:r w:rsidR="00542F93" w:rsidRPr="00F42730">
        <w:rPr>
          <w:rFonts w:ascii="Times New Roman" w:hAnsi="Times New Roman"/>
          <w:sz w:val="24"/>
          <w:szCs w:val="24"/>
        </w:rPr>
        <w:t>n</w:t>
      </w:r>
      <w:proofErr w:type="spellEnd"/>
      <w:r w:rsidR="00542F93" w:rsidRPr="00F42730">
        <w:rPr>
          <w:rFonts w:ascii="Times New Roman" w:hAnsi="Times New Roman"/>
          <w:sz w:val="24"/>
          <w:szCs w:val="24"/>
        </w:rPr>
        <w:t xml:space="preserve"> </w:t>
      </w:r>
      <w:r w:rsidR="00C63C63">
        <w:rPr>
          <w:rFonts w:ascii="Times New Roman" w:hAnsi="Times New Roman"/>
          <w:sz w:val="24"/>
          <w:szCs w:val="24"/>
        </w:rPr>
        <w:t xml:space="preserve">of </w:t>
      </w:r>
      <w:r w:rsidR="00542F93" w:rsidRPr="00F42730">
        <w:rPr>
          <w:rFonts w:ascii="Times New Roman" w:hAnsi="Times New Roman"/>
          <w:sz w:val="24"/>
          <w:szCs w:val="24"/>
        </w:rPr>
        <w:t xml:space="preserve">Dutch bankruptcy law. </w:t>
      </w:r>
    </w:p>
    <w:p w:rsidR="00F42730" w:rsidRDefault="00F42730" w:rsidP="00F42730">
      <w:pPr>
        <w:pStyle w:val="KeinLeerraum"/>
        <w:rPr>
          <w:rFonts w:ascii="Times New Roman" w:hAnsi="Times New Roman"/>
          <w:sz w:val="24"/>
          <w:szCs w:val="24"/>
        </w:rPr>
      </w:pPr>
    </w:p>
    <w:p w:rsidR="00F42730" w:rsidRDefault="00F42730" w:rsidP="00F42730">
      <w:pPr>
        <w:pStyle w:val="KeinLeerraum"/>
        <w:rPr>
          <w:rFonts w:ascii="Times New Roman" w:hAnsi="Times New Roman"/>
          <w:sz w:val="24"/>
          <w:szCs w:val="24"/>
        </w:rPr>
      </w:pPr>
      <w:r>
        <w:rPr>
          <w:rFonts w:ascii="Times New Roman" w:hAnsi="Times New Roman"/>
          <w:sz w:val="24"/>
          <w:szCs w:val="24"/>
        </w:rPr>
        <w:t>First pillar:</w:t>
      </w:r>
      <w:r w:rsidR="00C509D4">
        <w:rPr>
          <w:rFonts w:ascii="Times New Roman" w:hAnsi="Times New Roman"/>
          <w:sz w:val="24"/>
          <w:szCs w:val="24"/>
        </w:rPr>
        <w:t xml:space="preserve"> insolvency fraud</w:t>
      </w:r>
    </w:p>
    <w:p w:rsidR="00F42730" w:rsidRDefault="00542F93" w:rsidP="00F42730">
      <w:pPr>
        <w:pStyle w:val="KeinLeerraum"/>
        <w:rPr>
          <w:rFonts w:ascii="Times New Roman" w:hAnsi="Times New Roman"/>
          <w:sz w:val="24"/>
          <w:szCs w:val="24"/>
        </w:rPr>
      </w:pPr>
      <w:r w:rsidRPr="00F42730">
        <w:rPr>
          <w:rFonts w:ascii="Times New Roman" w:hAnsi="Times New Roman"/>
          <w:sz w:val="24"/>
          <w:szCs w:val="24"/>
        </w:rPr>
        <w:t xml:space="preserve">With regard to insolvency fraud, two bills entered into force on 1 July 2016. </w:t>
      </w:r>
    </w:p>
    <w:p w:rsidR="00F42730" w:rsidRDefault="00542F93" w:rsidP="00F42730">
      <w:pPr>
        <w:pStyle w:val="KeinLeerraum"/>
        <w:rPr>
          <w:rFonts w:ascii="Times New Roman" w:hAnsi="Times New Roman"/>
          <w:sz w:val="24"/>
          <w:szCs w:val="24"/>
        </w:rPr>
      </w:pPr>
      <w:r w:rsidRPr="00F42730">
        <w:rPr>
          <w:rFonts w:ascii="Times New Roman" w:hAnsi="Times New Roman"/>
          <w:sz w:val="24"/>
          <w:szCs w:val="24"/>
        </w:rPr>
        <w:t>The first bill increases the possibility to use criminal law in cases of insolvency fraud</w:t>
      </w:r>
      <w:r w:rsidR="003C289B">
        <w:rPr>
          <w:rFonts w:ascii="Times New Roman" w:hAnsi="Times New Roman"/>
          <w:sz w:val="24"/>
          <w:szCs w:val="24"/>
        </w:rPr>
        <w:t xml:space="preserve">. The </w:t>
      </w:r>
      <w:r w:rsidRPr="00F42730">
        <w:rPr>
          <w:rFonts w:ascii="Times New Roman" w:hAnsi="Times New Roman"/>
          <w:sz w:val="24"/>
          <w:szCs w:val="24"/>
        </w:rPr>
        <w:t xml:space="preserve">second bill concerns the disqualification of directors for five years if they manifestly improperly performed their tasks during a period of three years before the insolvency. </w:t>
      </w:r>
    </w:p>
    <w:p w:rsidR="00542F93" w:rsidRPr="00F42730" w:rsidRDefault="003C289B" w:rsidP="00F42730">
      <w:pPr>
        <w:pStyle w:val="KeinLeerraum"/>
        <w:rPr>
          <w:rFonts w:ascii="Times New Roman" w:hAnsi="Times New Roman"/>
          <w:sz w:val="24"/>
          <w:szCs w:val="24"/>
        </w:rPr>
      </w:pPr>
      <w:r>
        <w:rPr>
          <w:rFonts w:ascii="Times New Roman" w:hAnsi="Times New Roman"/>
          <w:sz w:val="24"/>
          <w:szCs w:val="24"/>
        </w:rPr>
        <w:t xml:space="preserve">A third and final bill in the pillar’s context focusses on </w:t>
      </w:r>
      <w:r w:rsidR="00542F93" w:rsidRPr="00F42730">
        <w:rPr>
          <w:rFonts w:ascii="Times New Roman" w:hAnsi="Times New Roman"/>
          <w:sz w:val="24"/>
          <w:szCs w:val="24"/>
        </w:rPr>
        <w:t xml:space="preserve">the strengthening </w:t>
      </w:r>
      <w:r w:rsidR="00C63C63">
        <w:rPr>
          <w:rFonts w:ascii="Times New Roman" w:hAnsi="Times New Roman"/>
          <w:sz w:val="24"/>
          <w:szCs w:val="24"/>
        </w:rPr>
        <w:t xml:space="preserve">of the position of IPs, especially regarding </w:t>
      </w:r>
      <w:r w:rsidR="00542F93" w:rsidRPr="00F42730">
        <w:rPr>
          <w:rFonts w:ascii="Times New Roman" w:hAnsi="Times New Roman"/>
          <w:sz w:val="24"/>
          <w:szCs w:val="24"/>
        </w:rPr>
        <w:t>fraud alert duties into force on 1 July 2017.</w:t>
      </w:r>
    </w:p>
    <w:p w:rsidR="00C63C63" w:rsidRPr="00C63C63" w:rsidRDefault="00C63C63" w:rsidP="00C63C63">
      <w:pPr>
        <w:pStyle w:val="KeinLeerraum"/>
        <w:rPr>
          <w:rFonts w:ascii="Times New Roman" w:hAnsi="Times New Roman"/>
          <w:sz w:val="24"/>
          <w:szCs w:val="24"/>
        </w:rPr>
      </w:pPr>
      <w:r w:rsidRPr="00C63C63">
        <w:rPr>
          <w:rFonts w:ascii="Times New Roman" w:hAnsi="Times New Roman"/>
          <w:sz w:val="24"/>
          <w:szCs w:val="24"/>
        </w:rPr>
        <w:t xml:space="preserve">Art. 68 establishes the duties of the </w:t>
      </w:r>
      <w:r w:rsidR="003C289B">
        <w:rPr>
          <w:rFonts w:ascii="Times New Roman" w:hAnsi="Times New Roman"/>
          <w:sz w:val="24"/>
          <w:szCs w:val="24"/>
        </w:rPr>
        <w:t xml:space="preserve">IP (‘curator’). His legal task is to </w:t>
      </w:r>
      <w:r w:rsidRPr="00C63C63">
        <w:rPr>
          <w:rFonts w:ascii="Times New Roman" w:hAnsi="Times New Roman"/>
          <w:sz w:val="24"/>
          <w:szCs w:val="24"/>
        </w:rPr>
        <w:t>manage and settle the estate.</w:t>
      </w:r>
      <w:r w:rsidR="003C289B">
        <w:rPr>
          <w:rFonts w:ascii="Times New Roman" w:hAnsi="Times New Roman"/>
          <w:sz w:val="24"/>
          <w:szCs w:val="24"/>
        </w:rPr>
        <w:t xml:space="preserve"> In 2017 a new </w:t>
      </w:r>
      <w:r w:rsidRPr="00C63C63">
        <w:rPr>
          <w:rFonts w:ascii="Times New Roman" w:hAnsi="Times New Roman"/>
          <w:sz w:val="24"/>
          <w:szCs w:val="24"/>
        </w:rPr>
        <w:t>paragraph 2 has been added:</w:t>
      </w:r>
    </w:p>
    <w:p w:rsidR="00F42730" w:rsidRPr="003C289B" w:rsidRDefault="003C289B" w:rsidP="00C63C63">
      <w:pPr>
        <w:pStyle w:val="KeinLeerraum"/>
        <w:rPr>
          <w:rFonts w:ascii="Times New Roman" w:hAnsi="Times New Roman"/>
          <w:sz w:val="24"/>
          <w:szCs w:val="24"/>
          <w:lang w:val="en-GB"/>
        </w:rPr>
      </w:pPr>
      <w:r>
        <w:rPr>
          <w:rFonts w:ascii="Times New Roman" w:hAnsi="Times New Roman"/>
          <w:sz w:val="24"/>
          <w:szCs w:val="24"/>
        </w:rPr>
        <w:t>‘</w:t>
      </w:r>
      <w:r w:rsidR="00C63C63" w:rsidRPr="00C63C63">
        <w:rPr>
          <w:rFonts w:ascii="Times New Roman" w:hAnsi="Times New Roman"/>
          <w:sz w:val="24"/>
          <w:szCs w:val="24"/>
        </w:rPr>
        <w:t xml:space="preserve">The </w:t>
      </w:r>
      <w:r w:rsidR="00C63C63">
        <w:rPr>
          <w:rFonts w:ascii="Times New Roman" w:hAnsi="Times New Roman"/>
          <w:sz w:val="24"/>
          <w:szCs w:val="24"/>
        </w:rPr>
        <w:t>insolvency practitioner</w:t>
      </w:r>
      <w:r w:rsidR="00C63C63" w:rsidRPr="00C63C63">
        <w:rPr>
          <w:rFonts w:ascii="Times New Roman" w:hAnsi="Times New Roman"/>
          <w:sz w:val="24"/>
          <w:szCs w:val="24"/>
        </w:rPr>
        <w:t xml:space="preserve">: a. </w:t>
      </w:r>
      <w:r w:rsidR="00C63C63">
        <w:rPr>
          <w:rFonts w:ascii="Times New Roman" w:hAnsi="Times New Roman"/>
          <w:sz w:val="24"/>
          <w:szCs w:val="24"/>
        </w:rPr>
        <w:t>e</w:t>
      </w:r>
      <w:r w:rsidR="00C63C63" w:rsidRPr="00C63C63">
        <w:rPr>
          <w:rFonts w:ascii="Times New Roman" w:hAnsi="Times New Roman"/>
          <w:sz w:val="24"/>
          <w:szCs w:val="24"/>
        </w:rPr>
        <w:t xml:space="preserve">xamines in the management and </w:t>
      </w:r>
      <w:r w:rsidR="00C63C63">
        <w:rPr>
          <w:rFonts w:ascii="Times New Roman" w:hAnsi="Times New Roman"/>
          <w:sz w:val="24"/>
          <w:szCs w:val="24"/>
        </w:rPr>
        <w:t xml:space="preserve">settlement </w:t>
      </w:r>
      <w:r w:rsidR="00C63C63" w:rsidRPr="00C63C63">
        <w:rPr>
          <w:rFonts w:ascii="Times New Roman" w:hAnsi="Times New Roman"/>
          <w:sz w:val="24"/>
          <w:szCs w:val="24"/>
        </w:rPr>
        <w:t xml:space="preserve">of the bankrupt estate whether there are any irregularities that have caused the bankruptcy, at least in part, complicating the liquidation of the bankrupt estate or have increased the deficit in the bankruptcy; b. informs the </w:t>
      </w:r>
      <w:r w:rsidR="00C63C63">
        <w:rPr>
          <w:rFonts w:ascii="Times New Roman" w:hAnsi="Times New Roman"/>
          <w:sz w:val="24"/>
          <w:szCs w:val="24"/>
        </w:rPr>
        <w:t xml:space="preserve">supervisory judge </w:t>
      </w:r>
      <w:r w:rsidR="00C63C63" w:rsidRPr="00C63C63">
        <w:rPr>
          <w:rFonts w:ascii="Times New Roman" w:hAnsi="Times New Roman"/>
          <w:sz w:val="24"/>
          <w:szCs w:val="24"/>
        </w:rPr>
        <w:t xml:space="preserve">about this confidentially; and c. shall, if he or the </w:t>
      </w:r>
      <w:r w:rsidR="00C63C63">
        <w:rPr>
          <w:rFonts w:ascii="Times New Roman" w:hAnsi="Times New Roman"/>
          <w:sz w:val="24"/>
          <w:szCs w:val="24"/>
        </w:rPr>
        <w:t xml:space="preserve">supervisory judge </w:t>
      </w:r>
      <w:r w:rsidR="00C63C63" w:rsidRPr="00C63C63">
        <w:rPr>
          <w:rFonts w:ascii="Times New Roman" w:hAnsi="Times New Roman"/>
          <w:sz w:val="24"/>
          <w:szCs w:val="24"/>
        </w:rPr>
        <w:t>deems it necessary, report or report irregularities to the competent authorities.</w:t>
      </w:r>
      <w:r>
        <w:rPr>
          <w:rFonts w:ascii="Times New Roman" w:hAnsi="Times New Roman"/>
          <w:sz w:val="24"/>
          <w:szCs w:val="24"/>
        </w:rPr>
        <w:t>’</w:t>
      </w:r>
    </w:p>
    <w:p w:rsidR="00C63C63" w:rsidRPr="003C289B" w:rsidRDefault="003C289B" w:rsidP="00C63C63">
      <w:pPr>
        <w:pStyle w:val="KeinLeerraum"/>
        <w:rPr>
          <w:rFonts w:ascii="Times New Roman" w:hAnsi="Times New Roman"/>
          <w:iCs/>
          <w:sz w:val="24"/>
          <w:szCs w:val="24"/>
          <w:lang w:val="en-GB"/>
        </w:rPr>
      </w:pPr>
      <w:r w:rsidRPr="003C289B">
        <w:rPr>
          <w:rFonts w:ascii="Times New Roman" w:hAnsi="Times New Roman"/>
          <w:iCs/>
          <w:sz w:val="24"/>
          <w:szCs w:val="24"/>
          <w:lang w:val="en-GB"/>
        </w:rPr>
        <w:t>Ev</w:t>
      </w:r>
      <w:r>
        <w:rPr>
          <w:rFonts w:ascii="Times New Roman" w:hAnsi="Times New Roman"/>
          <w:iCs/>
          <w:sz w:val="24"/>
          <w:szCs w:val="24"/>
          <w:lang w:val="en-GB"/>
        </w:rPr>
        <w:t>idently in debate is how to reconcile the task to manage and administer the estate for the benefit of the collective group of the creditors and the specific task – for the general public interest – to report irregularities.</w:t>
      </w:r>
    </w:p>
    <w:p w:rsidR="00C63C63" w:rsidRPr="003C289B" w:rsidRDefault="00C63C63" w:rsidP="00F42730">
      <w:pPr>
        <w:pStyle w:val="KeinLeerraum"/>
        <w:rPr>
          <w:rFonts w:ascii="Times New Roman" w:hAnsi="Times New Roman"/>
          <w:i/>
          <w:sz w:val="24"/>
          <w:szCs w:val="24"/>
          <w:lang w:val="en-GB"/>
        </w:rPr>
      </w:pPr>
    </w:p>
    <w:p w:rsidR="00F42730" w:rsidRDefault="00F42730" w:rsidP="00F42730">
      <w:pPr>
        <w:pStyle w:val="KeinLeerraum"/>
        <w:rPr>
          <w:rFonts w:ascii="Times New Roman" w:hAnsi="Times New Roman"/>
          <w:sz w:val="24"/>
          <w:szCs w:val="24"/>
        </w:rPr>
      </w:pPr>
      <w:r>
        <w:rPr>
          <w:rFonts w:ascii="Times New Roman" w:hAnsi="Times New Roman"/>
          <w:sz w:val="24"/>
          <w:szCs w:val="24"/>
        </w:rPr>
        <w:t>Second pillar: corporate restructuring</w:t>
      </w:r>
    </w:p>
    <w:p w:rsidR="00DC6759" w:rsidRDefault="00C509D4" w:rsidP="00DC6759">
      <w:pPr>
        <w:pStyle w:val="KeinLeerraum"/>
        <w:rPr>
          <w:rStyle w:val="bold"/>
          <w:rFonts w:ascii="Times New Roman" w:hAnsi="Times New Roman"/>
          <w:sz w:val="24"/>
          <w:szCs w:val="24"/>
        </w:rPr>
      </w:pPr>
      <w:r>
        <w:rPr>
          <w:rFonts w:ascii="Times New Roman" w:hAnsi="Times New Roman"/>
          <w:sz w:val="24"/>
          <w:szCs w:val="24"/>
        </w:rPr>
        <w:t>In 2013</w:t>
      </w:r>
      <w:r w:rsidR="00542F93" w:rsidRPr="00F42730">
        <w:rPr>
          <w:rFonts w:ascii="Times New Roman" w:hAnsi="Times New Roman"/>
          <w:sz w:val="24"/>
          <w:szCs w:val="24"/>
        </w:rPr>
        <w:t xml:space="preserve"> the Dutch government introduced the first draft bill regarding the second focus of the aforementioned program, the draft Bill on Continuity of Undertakings I. This draft bill aims to regulate the pre-pack</w:t>
      </w:r>
      <w:r>
        <w:rPr>
          <w:rFonts w:ascii="Times New Roman" w:hAnsi="Times New Roman"/>
          <w:sz w:val="24"/>
          <w:szCs w:val="24"/>
        </w:rPr>
        <w:t xml:space="preserve"> (Dutch variant of the English instrument) as it has developed in practice since 2011. The Bill should not take </w:t>
      </w:r>
      <w:r w:rsidR="00542F93" w:rsidRPr="00F42730">
        <w:rPr>
          <w:rFonts w:ascii="Times New Roman" w:hAnsi="Times New Roman"/>
          <w:sz w:val="24"/>
          <w:szCs w:val="24"/>
        </w:rPr>
        <w:t xml:space="preserve">away its advantages, still granting restructuring practitioners sufficient leeway to apply the pre-pack to very different cases. The draft bill </w:t>
      </w:r>
      <w:r>
        <w:rPr>
          <w:rFonts w:ascii="Times New Roman" w:hAnsi="Times New Roman"/>
          <w:sz w:val="24"/>
          <w:szCs w:val="24"/>
        </w:rPr>
        <w:t>went to Dutch Parliament but was halted a</w:t>
      </w:r>
      <w:r w:rsidR="00542F93" w:rsidRPr="00F42730">
        <w:rPr>
          <w:rFonts w:ascii="Times New Roman" w:hAnsi="Times New Roman"/>
          <w:sz w:val="24"/>
          <w:szCs w:val="24"/>
        </w:rPr>
        <w:t xml:space="preserve">fter </w:t>
      </w:r>
      <w:r>
        <w:rPr>
          <w:rFonts w:ascii="Times New Roman" w:hAnsi="Times New Roman"/>
          <w:sz w:val="24"/>
          <w:szCs w:val="24"/>
        </w:rPr>
        <w:t xml:space="preserve">the publication of </w:t>
      </w:r>
      <w:r w:rsidR="00542F93" w:rsidRPr="00F42730">
        <w:rPr>
          <w:rFonts w:ascii="Times New Roman" w:hAnsi="Times New Roman"/>
          <w:sz w:val="24"/>
          <w:szCs w:val="24"/>
        </w:rPr>
        <w:t xml:space="preserve">the opinion of the attorney-general to the ECJ in the </w:t>
      </w:r>
      <w:proofErr w:type="spellStart"/>
      <w:r w:rsidR="00542F93" w:rsidRPr="00F42730">
        <w:rPr>
          <w:rFonts w:ascii="Times New Roman" w:hAnsi="Times New Roman"/>
          <w:sz w:val="24"/>
          <w:szCs w:val="24"/>
        </w:rPr>
        <w:t>Estro</w:t>
      </w:r>
      <w:proofErr w:type="spellEnd"/>
      <w:r w:rsidR="00542F93" w:rsidRPr="00F42730">
        <w:rPr>
          <w:rFonts w:ascii="Times New Roman" w:hAnsi="Times New Roman"/>
          <w:sz w:val="24"/>
          <w:szCs w:val="24"/>
        </w:rPr>
        <w:t xml:space="preserve"> case</w:t>
      </w:r>
      <w:r>
        <w:rPr>
          <w:rFonts w:ascii="Times New Roman" w:hAnsi="Times New Roman"/>
          <w:sz w:val="24"/>
          <w:szCs w:val="24"/>
        </w:rPr>
        <w:t xml:space="preserve">. </w:t>
      </w:r>
      <w:r w:rsidR="00DC6759">
        <w:rPr>
          <w:rFonts w:ascii="Times New Roman" w:hAnsi="Times New Roman"/>
          <w:sz w:val="24"/>
          <w:szCs w:val="24"/>
        </w:rPr>
        <w:t>A few weeks later followed the CJEU</w:t>
      </w:r>
      <w:r>
        <w:rPr>
          <w:rFonts w:ascii="Times New Roman" w:hAnsi="Times New Roman"/>
          <w:sz w:val="24"/>
          <w:szCs w:val="24"/>
        </w:rPr>
        <w:t xml:space="preserve"> </w:t>
      </w:r>
      <w:r w:rsidR="00DC6759" w:rsidRPr="00C509D4">
        <w:rPr>
          <w:rFonts w:ascii="Times New Roman" w:hAnsi="Times New Roman"/>
          <w:sz w:val="24"/>
          <w:szCs w:val="24"/>
          <w:lang w:val="en-GB"/>
        </w:rPr>
        <w:t>22 </w:t>
      </w:r>
      <w:r>
        <w:rPr>
          <w:rFonts w:ascii="Times New Roman" w:hAnsi="Times New Roman"/>
          <w:sz w:val="24"/>
          <w:szCs w:val="24"/>
          <w:lang w:val="en-GB"/>
        </w:rPr>
        <w:t>J</w:t>
      </w:r>
      <w:r w:rsidR="00DC6759" w:rsidRPr="00C509D4">
        <w:rPr>
          <w:rFonts w:ascii="Times New Roman" w:hAnsi="Times New Roman"/>
          <w:sz w:val="24"/>
          <w:szCs w:val="24"/>
          <w:lang w:val="en-GB"/>
        </w:rPr>
        <w:t>un</w:t>
      </w:r>
      <w:r>
        <w:rPr>
          <w:rFonts w:ascii="Times New Roman" w:hAnsi="Times New Roman"/>
          <w:sz w:val="24"/>
          <w:szCs w:val="24"/>
          <w:lang w:val="en-GB"/>
        </w:rPr>
        <w:t>e</w:t>
      </w:r>
      <w:r w:rsidR="00DC6759" w:rsidRPr="00C509D4">
        <w:rPr>
          <w:rFonts w:ascii="Times New Roman" w:hAnsi="Times New Roman"/>
          <w:sz w:val="24"/>
          <w:szCs w:val="24"/>
          <w:lang w:val="en-GB"/>
        </w:rPr>
        <w:t xml:space="preserve"> 2017, C-126/16, ECLI</w:t>
      </w:r>
      <w:proofErr w:type="gramStart"/>
      <w:r w:rsidR="00DC6759" w:rsidRPr="00C509D4">
        <w:rPr>
          <w:rFonts w:ascii="Times New Roman" w:hAnsi="Times New Roman"/>
          <w:sz w:val="24"/>
          <w:szCs w:val="24"/>
          <w:lang w:val="en-GB"/>
        </w:rPr>
        <w:t>:EU:C:2017:489</w:t>
      </w:r>
      <w:proofErr w:type="gramEnd"/>
      <w:r>
        <w:rPr>
          <w:rFonts w:ascii="Times New Roman" w:hAnsi="Times New Roman"/>
          <w:sz w:val="24"/>
          <w:szCs w:val="24"/>
          <w:lang w:val="en-GB"/>
        </w:rPr>
        <w:t xml:space="preserve">. The Court of Justice of the EU held (in short) that </w:t>
      </w:r>
      <w:r w:rsidR="00DC6759" w:rsidRPr="00DC6759">
        <w:rPr>
          <w:rStyle w:val="bold"/>
          <w:rFonts w:ascii="Times New Roman" w:hAnsi="Times New Roman"/>
          <w:sz w:val="24"/>
          <w:szCs w:val="24"/>
        </w:rPr>
        <w:t xml:space="preserve">Directive 2001/23/EC of 12 March 2001 on the approximation of the laws of the Member States </w:t>
      </w:r>
      <w:r w:rsidR="00DC6759" w:rsidRPr="00DC6759">
        <w:rPr>
          <w:rStyle w:val="bold"/>
          <w:rFonts w:ascii="Times New Roman" w:hAnsi="Times New Roman"/>
          <w:sz w:val="24"/>
          <w:szCs w:val="24"/>
        </w:rPr>
        <w:lastRenderedPageBreak/>
        <w:t xml:space="preserve">relating to the safeguarding of employees’ rights in the event of transfers of undertakings, businesses or parts of undertakings or businesses, and in particular Article 5(1) thereof, must be interpreted as meaning </w:t>
      </w:r>
      <w:r>
        <w:rPr>
          <w:rStyle w:val="bold"/>
          <w:rFonts w:ascii="Times New Roman" w:hAnsi="Times New Roman"/>
          <w:sz w:val="24"/>
          <w:szCs w:val="24"/>
        </w:rPr>
        <w:t xml:space="preserve">‘… </w:t>
      </w:r>
      <w:r w:rsidR="00DC6759" w:rsidRPr="00DC6759">
        <w:rPr>
          <w:rStyle w:val="bold"/>
          <w:rFonts w:ascii="Times New Roman" w:hAnsi="Times New Roman"/>
          <w:sz w:val="24"/>
          <w:szCs w:val="24"/>
        </w:rPr>
        <w:t xml:space="preserve">that the protection of workers guaranteed by Articles 3 and 4 of that directive applies in a situation, such as that at issue in the main proceedings, in which the transfer of an undertaking takes place following a declaration of insolvency and in the context of a ‘pre-pack’ where that ‘pre-pack’ is prepared before the declaration of insolvency and put into effect immediately after that declaration, and, in particular, a court-appointed prospective insolvency administrator investigates the possibilities for continuation of the activities of that undertaking by a third party and prepares for acts which must be carried out shortly after the insolvency to enable such continuation and, moreover, it is irrelevant in that regard that the ‘pre-pack’ is also aimed at </w:t>
      </w:r>
      <w:proofErr w:type="spellStart"/>
      <w:r w:rsidR="00DC6759" w:rsidRPr="00DC6759">
        <w:rPr>
          <w:rStyle w:val="bold"/>
          <w:rFonts w:ascii="Times New Roman" w:hAnsi="Times New Roman"/>
          <w:sz w:val="24"/>
          <w:szCs w:val="24"/>
        </w:rPr>
        <w:t>maximising</w:t>
      </w:r>
      <w:proofErr w:type="spellEnd"/>
      <w:r w:rsidR="00DC6759" w:rsidRPr="00DC6759">
        <w:rPr>
          <w:rStyle w:val="bold"/>
          <w:rFonts w:ascii="Times New Roman" w:hAnsi="Times New Roman"/>
          <w:sz w:val="24"/>
          <w:szCs w:val="24"/>
        </w:rPr>
        <w:t xml:space="preserve"> the proceeds of the transfer for all the creditors of the undertaking in question.</w:t>
      </w:r>
      <w:r>
        <w:rPr>
          <w:rStyle w:val="bold"/>
          <w:rFonts w:ascii="Times New Roman" w:hAnsi="Times New Roman"/>
          <w:sz w:val="24"/>
          <w:szCs w:val="24"/>
        </w:rPr>
        <w:t>’</w:t>
      </w:r>
    </w:p>
    <w:p w:rsidR="00DC6759" w:rsidRDefault="00DC6759" w:rsidP="00DC6759">
      <w:pPr>
        <w:pStyle w:val="KeinLeerraum"/>
        <w:rPr>
          <w:rFonts w:ascii="Times New Roman" w:hAnsi="Times New Roman"/>
          <w:sz w:val="24"/>
          <w:szCs w:val="24"/>
        </w:rPr>
      </w:pPr>
      <w:r>
        <w:rPr>
          <w:rFonts w:ascii="Times New Roman" w:hAnsi="Times New Roman"/>
          <w:sz w:val="24"/>
          <w:szCs w:val="24"/>
        </w:rPr>
        <w:t xml:space="preserve">Only </w:t>
      </w:r>
      <w:r w:rsidR="00C509D4">
        <w:rPr>
          <w:rFonts w:ascii="Times New Roman" w:hAnsi="Times New Roman"/>
          <w:sz w:val="24"/>
          <w:szCs w:val="24"/>
        </w:rPr>
        <w:t xml:space="preserve">in June 2019 </w:t>
      </w:r>
      <w:r>
        <w:rPr>
          <w:rFonts w:ascii="Times New Roman" w:hAnsi="Times New Roman"/>
          <w:sz w:val="24"/>
          <w:szCs w:val="24"/>
        </w:rPr>
        <w:t xml:space="preserve">a consultation </w:t>
      </w:r>
      <w:r w:rsidR="00C509D4">
        <w:rPr>
          <w:rFonts w:ascii="Times New Roman" w:hAnsi="Times New Roman"/>
          <w:sz w:val="24"/>
          <w:szCs w:val="24"/>
        </w:rPr>
        <w:t xml:space="preserve">of the Ministry </w:t>
      </w:r>
      <w:r>
        <w:rPr>
          <w:rFonts w:ascii="Times New Roman" w:hAnsi="Times New Roman"/>
          <w:sz w:val="24"/>
          <w:szCs w:val="24"/>
        </w:rPr>
        <w:t xml:space="preserve">has been published asking for view how to deal with employee protection in pre-insolvency situations. </w:t>
      </w:r>
    </w:p>
    <w:p w:rsidR="00DC6759" w:rsidRDefault="00DC6759" w:rsidP="00F42730">
      <w:pPr>
        <w:pStyle w:val="KeinLeerraum"/>
        <w:rPr>
          <w:rFonts w:ascii="Times New Roman" w:hAnsi="Times New Roman"/>
          <w:sz w:val="24"/>
          <w:szCs w:val="24"/>
        </w:rPr>
      </w:pPr>
    </w:p>
    <w:p w:rsidR="00542F93" w:rsidRPr="00F42730" w:rsidRDefault="00C509D4" w:rsidP="00F42730">
      <w:pPr>
        <w:pStyle w:val="KeinLeerraum"/>
        <w:rPr>
          <w:rFonts w:ascii="Times New Roman" w:hAnsi="Times New Roman"/>
          <w:sz w:val="24"/>
          <w:szCs w:val="24"/>
        </w:rPr>
      </w:pPr>
      <w:r>
        <w:rPr>
          <w:rFonts w:ascii="Times New Roman" w:hAnsi="Times New Roman"/>
          <w:sz w:val="24"/>
          <w:szCs w:val="24"/>
        </w:rPr>
        <w:t xml:space="preserve">In </w:t>
      </w:r>
      <w:r w:rsidR="00542F93" w:rsidRPr="00F42730">
        <w:rPr>
          <w:rFonts w:ascii="Times New Roman" w:hAnsi="Times New Roman"/>
          <w:sz w:val="24"/>
          <w:szCs w:val="24"/>
        </w:rPr>
        <w:t>5 September 2017, a draft bill named the ‘Act on the Confirmation of a Private Restructuring Plan in order to Prevent Bankruptcy’ was presented. This draft bill introduces a statutory framework for a pre-insolvency restructuring similar to the UK scheme of arrangements. Although the exact timing for implementation of these and other proposals remains uncertain, the draft bills show a clear trend in the Netherlands towards a more rescue-friendly environment and a more competitive formal insolvency law regime within Europe.</w:t>
      </w:r>
    </w:p>
    <w:p w:rsidR="00F42730" w:rsidRDefault="00F42730" w:rsidP="00F42730">
      <w:pPr>
        <w:pStyle w:val="KeinLeerraum"/>
        <w:rPr>
          <w:rFonts w:ascii="Times New Roman" w:hAnsi="Times New Roman"/>
          <w:sz w:val="24"/>
          <w:szCs w:val="24"/>
        </w:rPr>
      </w:pPr>
    </w:p>
    <w:p w:rsidR="00DC6759" w:rsidRDefault="00DC6759" w:rsidP="00F42730">
      <w:pPr>
        <w:pStyle w:val="KeinLeerraum"/>
        <w:rPr>
          <w:rFonts w:ascii="Times New Roman" w:hAnsi="Times New Roman"/>
          <w:sz w:val="24"/>
          <w:szCs w:val="24"/>
        </w:rPr>
      </w:pPr>
      <w:r>
        <w:rPr>
          <w:rFonts w:ascii="Times New Roman" w:hAnsi="Times New Roman"/>
          <w:sz w:val="24"/>
          <w:szCs w:val="24"/>
        </w:rPr>
        <w:t>Final</w:t>
      </w:r>
      <w:r w:rsidR="001B7631">
        <w:rPr>
          <w:rFonts w:ascii="Times New Roman" w:hAnsi="Times New Roman"/>
          <w:sz w:val="24"/>
          <w:szCs w:val="24"/>
        </w:rPr>
        <w:t>l</w:t>
      </w:r>
      <w:r>
        <w:rPr>
          <w:rFonts w:ascii="Times New Roman" w:hAnsi="Times New Roman"/>
          <w:sz w:val="24"/>
          <w:szCs w:val="24"/>
        </w:rPr>
        <w:t>y, the third pillar:</w:t>
      </w:r>
      <w:r w:rsidR="00C509D4">
        <w:rPr>
          <w:rFonts w:ascii="Times New Roman" w:hAnsi="Times New Roman"/>
          <w:sz w:val="24"/>
          <w:szCs w:val="24"/>
        </w:rPr>
        <w:t xml:space="preserve"> modernization </w:t>
      </w:r>
    </w:p>
    <w:p w:rsidR="00035BC9" w:rsidRDefault="00542F93" w:rsidP="00F42730">
      <w:pPr>
        <w:pStyle w:val="KeinLeerraum"/>
        <w:rPr>
          <w:rFonts w:ascii="Times New Roman" w:hAnsi="Times New Roman"/>
          <w:sz w:val="24"/>
          <w:szCs w:val="24"/>
        </w:rPr>
      </w:pPr>
      <w:r w:rsidRPr="00F42730">
        <w:rPr>
          <w:rFonts w:ascii="Times New Roman" w:hAnsi="Times New Roman"/>
          <w:sz w:val="24"/>
          <w:szCs w:val="24"/>
        </w:rPr>
        <w:t xml:space="preserve">On 1 January 2019, the </w:t>
      </w:r>
      <w:proofErr w:type="spellStart"/>
      <w:r w:rsidRPr="00F42730">
        <w:rPr>
          <w:rFonts w:ascii="Times New Roman" w:hAnsi="Times New Roman"/>
          <w:sz w:val="24"/>
          <w:szCs w:val="24"/>
        </w:rPr>
        <w:t>Modernisation</w:t>
      </w:r>
      <w:proofErr w:type="spellEnd"/>
      <w:r w:rsidRPr="00F42730">
        <w:rPr>
          <w:rFonts w:ascii="Times New Roman" w:hAnsi="Times New Roman"/>
          <w:sz w:val="24"/>
          <w:szCs w:val="24"/>
        </w:rPr>
        <w:t xml:space="preserve"> of Bankruptcy Procedure Act (MBPA) (in Dutch: Wet </w:t>
      </w:r>
      <w:proofErr w:type="spellStart"/>
      <w:r w:rsidRPr="00F42730">
        <w:rPr>
          <w:rFonts w:ascii="Times New Roman" w:hAnsi="Times New Roman"/>
          <w:sz w:val="24"/>
          <w:szCs w:val="24"/>
        </w:rPr>
        <w:t>Modernisering</w:t>
      </w:r>
      <w:proofErr w:type="spellEnd"/>
      <w:r w:rsidRPr="00F42730">
        <w:rPr>
          <w:rFonts w:ascii="Times New Roman" w:hAnsi="Times New Roman"/>
          <w:sz w:val="24"/>
          <w:szCs w:val="24"/>
        </w:rPr>
        <w:t xml:space="preserve"> </w:t>
      </w:r>
      <w:proofErr w:type="spellStart"/>
      <w:r w:rsidRPr="00F42730">
        <w:rPr>
          <w:rFonts w:ascii="Times New Roman" w:hAnsi="Times New Roman"/>
          <w:sz w:val="24"/>
          <w:szCs w:val="24"/>
        </w:rPr>
        <w:t>Faillissementsprocedure</w:t>
      </w:r>
      <w:proofErr w:type="spellEnd"/>
      <w:r w:rsidRPr="00F42730">
        <w:rPr>
          <w:rFonts w:ascii="Times New Roman" w:hAnsi="Times New Roman"/>
          <w:sz w:val="24"/>
          <w:szCs w:val="24"/>
        </w:rPr>
        <w:t xml:space="preserve">) </w:t>
      </w:r>
      <w:r w:rsidR="00F42730">
        <w:rPr>
          <w:rFonts w:ascii="Times New Roman" w:hAnsi="Times New Roman"/>
          <w:sz w:val="24"/>
          <w:szCs w:val="24"/>
        </w:rPr>
        <w:t>entered</w:t>
      </w:r>
      <w:r w:rsidRPr="00F42730">
        <w:rPr>
          <w:rFonts w:ascii="Times New Roman" w:hAnsi="Times New Roman"/>
          <w:sz w:val="24"/>
          <w:szCs w:val="24"/>
        </w:rPr>
        <w:t xml:space="preserve"> into force</w:t>
      </w:r>
      <w:r w:rsidR="00F42730">
        <w:rPr>
          <w:rFonts w:ascii="Times New Roman" w:hAnsi="Times New Roman"/>
          <w:sz w:val="24"/>
          <w:szCs w:val="24"/>
        </w:rPr>
        <w:t xml:space="preserve">. </w:t>
      </w:r>
      <w:r w:rsidRPr="00F42730">
        <w:rPr>
          <w:rFonts w:ascii="Times New Roman" w:hAnsi="Times New Roman"/>
          <w:sz w:val="24"/>
          <w:szCs w:val="24"/>
        </w:rPr>
        <w:t xml:space="preserve">This act, which will apply to bankruptcies opened on or after 1 January 2019, is aimed at updating Dutch bankruptcy law to bring it more in line with modern practice. </w:t>
      </w:r>
    </w:p>
    <w:p w:rsidR="00824E65" w:rsidRDefault="00035BC9" w:rsidP="00F42730">
      <w:pPr>
        <w:pStyle w:val="KeinLeerraum"/>
        <w:rPr>
          <w:rFonts w:ascii="Times New Roman" w:hAnsi="Times New Roman"/>
          <w:sz w:val="24"/>
          <w:szCs w:val="24"/>
        </w:rPr>
      </w:pPr>
      <w:r>
        <w:rPr>
          <w:rFonts w:ascii="Times New Roman" w:hAnsi="Times New Roman"/>
          <w:sz w:val="24"/>
          <w:szCs w:val="24"/>
        </w:rPr>
        <w:t>T</w:t>
      </w:r>
      <w:r w:rsidR="00542F93" w:rsidRPr="00F42730">
        <w:rPr>
          <w:rFonts w:ascii="Times New Roman" w:hAnsi="Times New Roman"/>
          <w:sz w:val="24"/>
          <w:szCs w:val="24"/>
        </w:rPr>
        <w:t>he MBPA implements measures aimed at achieving four distinctive goals:</w:t>
      </w:r>
      <w:r w:rsidR="00045036">
        <w:rPr>
          <w:rFonts w:ascii="Times New Roman" w:hAnsi="Times New Roman"/>
          <w:sz w:val="24"/>
          <w:szCs w:val="24"/>
        </w:rPr>
        <w:t xml:space="preserve"> (</w:t>
      </w:r>
      <w:proofErr w:type="spellStart"/>
      <w:r w:rsidR="00045036">
        <w:rPr>
          <w:rFonts w:ascii="Times New Roman" w:hAnsi="Times New Roman"/>
          <w:sz w:val="24"/>
          <w:szCs w:val="24"/>
        </w:rPr>
        <w:t>i</w:t>
      </w:r>
      <w:proofErr w:type="spellEnd"/>
      <w:r w:rsidR="00045036">
        <w:rPr>
          <w:rFonts w:ascii="Times New Roman" w:hAnsi="Times New Roman"/>
          <w:sz w:val="24"/>
          <w:szCs w:val="24"/>
        </w:rPr>
        <w:t>) i</w:t>
      </w:r>
      <w:r w:rsidR="00542F93" w:rsidRPr="00F42730">
        <w:rPr>
          <w:rFonts w:ascii="Times New Roman" w:hAnsi="Times New Roman"/>
          <w:sz w:val="24"/>
          <w:szCs w:val="24"/>
        </w:rPr>
        <w:t xml:space="preserve">ncreased </w:t>
      </w:r>
      <w:proofErr w:type="spellStart"/>
      <w:r w:rsidR="00542F93" w:rsidRPr="00F42730">
        <w:rPr>
          <w:rFonts w:ascii="Times New Roman" w:hAnsi="Times New Roman"/>
          <w:sz w:val="24"/>
          <w:szCs w:val="24"/>
        </w:rPr>
        <w:t>digitalisation</w:t>
      </w:r>
      <w:proofErr w:type="spellEnd"/>
      <w:r w:rsidR="00542F93" w:rsidRPr="00F42730">
        <w:rPr>
          <w:rFonts w:ascii="Times New Roman" w:hAnsi="Times New Roman"/>
          <w:sz w:val="24"/>
          <w:szCs w:val="24"/>
        </w:rPr>
        <w:t xml:space="preserve"> and transparency</w:t>
      </w:r>
      <w:r w:rsidR="00045036" w:rsidRPr="00045036">
        <w:rPr>
          <w:rFonts w:ascii="Times New Roman" w:hAnsi="Times New Roman"/>
          <w:sz w:val="24"/>
          <w:szCs w:val="24"/>
        </w:rPr>
        <w:t xml:space="preserve"> </w:t>
      </w:r>
      <w:r w:rsidR="00045036" w:rsidRPr="00F42730">
        <w:rPr>
          <w:rFonts w:ascii="Times New Roman" w:hAnsi="Times New Roman"/>
          <w:sz w:val="24"/>
          <w:szCs w:val="24"/>
        </w:rPr>
        <w:t xml:space="preserve">increased </w:t>
      </w:r>
      <w:proofErr w:type="spellStart"/>
      <w:r w:rsidR="00045036" w:rsidRPr="00F42730">
        <w:rPr>
          <w:rFonts w:ascii="Times New Roman" w:hAnsi="Times New Roman"/>
          <w:sz w:val="24"/>
          <w:szCs w:val="24"/>
        </w:rPr>
        <w:t>digitalisation</w:t>
      </w:r>
      <w:proofErr w:type="spellEnd"/>
      <w:r w:rsidR="00045036" w:rsidRPr="00F42730">
        <w:rPr>
          <w:rFonts w:ascii="Times New Roman" w:hAnsi="Times New Roman"/>
          <w:sz w:val="24"/>
          <w:szCs w:val="24"/>
        </w:rPr>
        <w:t xml:space="preserve"> and transparency</w:t>
      </w:r>
      <w:r w:rsidR="00045036">
        <w:rPr>
          <w:rFonts w:ascii="Times New Roman" w:hAnsi="Times New Roman"/>
          <w:sz w:val="24"/>
          <w:szCs w:val="24"/>
        </w:rPr>
        <w:t xml:space="preserve">, (ii) </w:t>
      </w:r>
      <w:r w:rsidR="00045036" w:rsidRPr="00F42730">
        <w:rPr>
          <w:rFonts w:ascii="Times New Roman" w:hAnsi="Times New Roman"/>
          <w:sz w:val="24"/>
          <w:szCs w:val="24"/>
        </w:rPr>
        <w:t>increasing the speed of the bankruptcy procedure</w:t>
      </w:r>
      <w:r w:rsidR="00045036">
        <w:rPr>
          <w:rFonts w:ascii="Times New Roman" w:hAnsi="Times New Roman"/>
          <w:sz w:val="24"/>
          <w:szCs w:val="24"/>
        </w:rPr>
        <w:t xml:space="preserve">, (iii) </w:t>
      </w:r>
      <w:r w:rsidR="00045036" w:rsidRPr="00F42730">
        <w:rPr>
          <w:rFonts w:ascii="Times New Roman" w:hAnsi="Times New Roman"/>
          <w:sz w:val="24"/>
          <w:szCs w:val="24"/>
        </w:rPr>
        <w:t>providing for a more made-to-measure procedure; and</w:t>
      </w:r>
      <w:r w:rsidR="00045036">
        <w:rPr>
          <w:rFonts w:ascii="Times New Roman" w:hAnsi="Times New Roman"/>
          <w:sz w:val="24"/>
          <w:szCs w:val="24"/>
        </w:rPr>
        <w:t xml:space="preserve"> (iv) </w:t>
      </w:r>
      <w:r w:rsidR="00045036" w:rsidRPr="00F42730">
        <w:rPr>
          <w:rFonts w:ascii="Times New Roman" w:hAnsi="Times New Roman"/>
          <w:sz w:val="24"/>
          <w:szCs w:val="24"/>
        </w:rPr>
        <w:t xml:space="preserve">increased </w:t>
      </w:r>
      <w:proofErr w:type="spellStart"/>
      <w:r w:rsidR="00045036" w:rsidRPr="00F42730">
        <w:rPr>
          <w:rFonts w:ascii="Times New Roman" w:hAnsi="Times New Roman"/>
          <w:sz w:val="24"/>
          <w:szCs w:val="24"/>
        </w:rPr>
        <w:t>specialisation</w:t>
      </w:r>
      <w:proofErr w:type="spellEnd"/>
      <w:r w:rsidR="00045036" w:rsidRPr="00F42730">
        <w:rPr>
          <w:rFonts w:ascii="Times New Roman" w:hAnsi="Times New Roman"/>
          <w:sz w:val="24"/>
          <w:szCs w:val="24"/>
        </w:rPr>
        <w:t xml:space="preserve"> and expertise.</w:t>
      </w:r>
      <w:r w:rsidR="00045036">
        <w:rPr>
          <w:rFonts w:ascii="Times New Roman" w:hAnsi="Times New Roman"/>
          <w:sz w:val="24"/>
          <w:szCs w:val="24"/>
        </w:rPr>
        <w:t xml:space="preserve"> The latter goal has led to the possibility of </w:t>
      </w:r>
      <w:r w:rsidR="00542F93" w:rsidRPr="00F42730">
        <w:rPr>
          <w:rFonts w:ascii="Times New Roman" w:hAnsi="Times New Roman"/>
          <w:sz w:val="24"/>
          <w:szCs w:val="24"/>
        </w:rPr>
        <w:t>a supervisory judge to appoint an expert – at the costs of the estate – to support the judge in cases that require particular expertise and the possibility for the appointment of more than one supervisory judge in a bankruptcy</w:t>
      </w:r>
      <w:r w:rsidR="00045036">
        <w:rPr>
          <w:rFonts w:ascii="Times New Roman" w:hAnsi="Times New Roman"/>
          <w:sz w:val="24"/>
          <w:szCs w:val="24"/>
        </w:rPr>
        <w:t xml:space="preserve"> liquidation case</w:t>
      </w:r>
      <w:r w:rsidR="00542F93" w:rsidRPr="00F42730">
        <w:rPr>
          <w:rFonts w:ascii="Times New Roman" w:hAnsi="Times New Roman"/>
          <w:sz w:val="24"/>
          <w:szCs w:val="24"/>
        </w:rPr>
        <w:t xml:space="preserve">. </w:t>
      </w:r>
    </w:p>
    <w:p w:rsidR="00045036" w:rsidRDefault="00045036" w:rsidP="00045036">
      <w:pPr>
        <w:pStyle w:val="KeinLeerraum"/>
        <w:rPr>
          <w:rFonts w:ascii="Times New Roman" w:hAnsi="Times New Roman"/>
          <w:sz w:val="24"/>
          <w:szCs w:val="24"/>
        </w:rPr>
      </w:pPr>
    </w:p>
    <w:p w:rsidR="00045036" w:rsidRDefault="00045036" w:rsidP="00045036">
      <w:pPr>
        <w:pStyle w:val="KeinLeerraum"/>
        <w:rPr>
          <w:rFonts w:ascii="Times New Roman" w:hAnsi="Times New Roman"/>
          <w:sz w:val="24"/>
          <w:szCs w:val="24"/>
          <w:lang w:val="en-GB"/>
        </w:rPr>
      </w:pPr>
      <w:r>
        <w:rPr>
          <w:rFonts w:ascii="Times New Roman" w:hAnsi="Times New Roman"/>
          <w:sz w:val="24"/>
          <w:szCs w:val="24"/>
        </w:rPr>
        <w:t>Other pending possible future legislation are considered for the following topics: (i) consumers and (pre-paid) gift cards, (ii) s</w:t>
      </w:r>
      <w:bookmarkStart w:id="1" w:name="d17e117"/>
      <w:bookmarkEnd w:id="1"/>
      <w:proofErr w:type="spellStart"/>
      <w:r w:rsidRPr="001B7631">
        <w:rPr>
          <w:rFonts w:ascii="Times New Roman" w:hAnsi="Times New Roman"/>
          <w:sz w:val="24"/>
          <w:szCs w:val="24"/>
          <w:lang w:val="en-GB"/>
        </w:rPr>
        <w:t>ecured</w:t>
      </w:r>
      <w:proofErr w:type="spellEnd"/>
      <w:r w:rsidRPr="001B7631">
        <w:rPr>
          <w:rFonts w:ascii="Times New Roman" w:hAnsi="Times New Roman"/>
          <w:sz w:val="24"/>
          <w:szCs w:val="24"/>
          <w:lang w:val="en-GB"/>
        </w:rPr>
        <w:t xml:space="preserve"> rights in insolvency (hardly </w:t>
      </w:r>
      <w:r>
        <w:rPr>
          <w:rFonts w:ascii="Times New Roman" w:hAnsi="Times New Roman"/>
          <w:sz w:val="24"/>
          <w:szCs w:val="24"/>
          <w:lang w:val="en-GB"/>
        </w:rPr>
        <w:t>influenced by insolvency; ideas for paying IPs because of the many asset-less estates, (iii) security rights for loans given by a shareholder. The latter is normally subordinated, but its position is secured by other means, (iv) insolvency and privatised institutions (e.g. schools; hospitals)</w:t>
      </w:r>
    </w:p>
    <w:p w:rsidR="00045036" w:rsidRDefault="00045036" w:rsidP="00F42730">
      <w:pPr>
        <w:pStyle w:val="KeinLeerraum"/>
        <w:rPr>
          <w:rFonts w:ascii="Times New Roman" w:hAnsi="Times New Roman"/>
          <w:sz w:val="24"/>
          <w:szCs w:val="24"/>
        </w:rPr>
      </w:pPr>
    </w:p>
    <w:p w:rsidR="00824E65" w:rsidRDefault="00542F93" w:rsidP="00F42730">
      <w:pPr>
        <w:pStyle w:val="KeinLeerraum"/>
        <w:rPr>
          <w:rFonts w:ascii="Times New Roman" w:hAnsi="Times New Roman"/>
          <w:sz w:val="24"/>
          <w:szCs w:val="24"/>
        </w:rPr>
      </w:pPr>
      <w:r w:rsidRPr="00F42730">
        <w:rPr>
          <w:rFonts w:ascii="Times New Roman" w:hAnsi="Times New Roman"/>
          <w:sz w:val="24"/>
          <w:szCs w:val="24"/>
        </w:rPr>
        <w:t xml:space="preserve">Finally, </w:t>
      </w:r>
      <w:r w:rsidR="00045036">
        <w:rPr>
          <w:rFonts w:ascii="Times New Roman" w:hAnsi="Times New Roman"/>
          <w:sz w:val="24"/>
          <w:szCs w:val="24"/>
        </w:rPr>
        <w:t xml:space="preserve">to assist the Ministry </w:t>
      </w:r>
      <w:r w:rsidRPr="00F42730">
        <w:rPr>
          <w:rFonts w:ascii="Times New Roman" w:hAnsi="Times New Roman"/>
          <w:sz w:val="24"/>
          <w:szCs w:val="24"/>
        </w:rPr>
        <w:t>a ‘Committee on Insolvency Law’</w:t>
      </w:r>
      <w:r w:rsidR="00045036">
        <w:rPr>
          <w:rFonts w:ascii="Times New Roman" w:hAnsi="Times New Roman"/>
          <w:sz w:val="24"/>
          <w:szCs w:val="24"/>
        </w:rPr>
        <w:t xml:space="preserve"> has been established for four years</w:t>
      </w:r>
      <w:r w:rsidRPr="00F42730">
        <w:rPr>
          <w:rFonts w:ascii="Times New Roman" w:hAnsi="Times New Roman"/>
          <w:sz w:val="24"/>
          <w:szCs w:val="24"/>
        </w:rPr>
        <w:t xml:space="preserve">. </w:t>
      </w:r>
      <w:r w:rsidR="00824E65">
        <w:rPr>
          <w:rFonts w:ascii="Times New Roman" w:hAnsi="Times New Roman"/>
          <w:sz w:val="24"/>
          <w:szCs w:val="24"/>
        </w:rPr>
        <w:t>Its chairman being prof. Michael Veder.</w:t>
      </w:r>
    </w:p>
    <w:p w:rsidR="00A76553" w:rsidRDefault="00A76553" w:rsidP="00F42730">
      <w:pPr>
        <w:pStyle w:val="KeinLeerraum"/>
        <w:rPr>
          <w:rFonts w:ascii="Times New Roman" w:hAnsi="Times New Roman"/>
          <w:sz w:val="24"/>
          <w:szCs w:val="24"/>
        </w:rPr>
      </w:pPr>
    </w:p>
    <w:p w:rsidR="00A76553" w:rsidRDefault="00A76553" w:rsidP="00F42730">
      <w:pPr>
        <w:pStyle w:val="KeinLeerraum"/>
        <w:rPr>
          <w:rFonts w:ascii="Times New Roman" w:hAnsi="Times New Roman"/>
          <w:b/>
          <w:bCs/>
          <w:sz w:val="24"/>
          <w:szCs w:val="24"/>
        </w:rPr>
      </w:pPr>
      <w:r w:rsidRPr="00A76553">
        <w:rPr>
          <w:rFonts w:ascii="Times New Roman" w:hAnsi="Times New Roman"/>
          <w:b/>
          <w:bCs/>
          <w:sz w:val="24"/>
          <w:szCs w:val="24"/>
        </w:rPr>
        <w:t>International cooperation</w:t>
      </w:r>
      <w:r>
        <w:rPr>
          <w:rFonts w:ascii="Times New Roman" w:hAnsi="Times New Roman"/>
          <w:b/>
          <w:bCs/>
          <w:sz w:val="24"/>
          <w:szCs w:val="24"/>
        </w:rPr>
        <w:t xml:space="preserve"> between courts</w:t>
      </w:r>
    </w:p>
    <w:p w:rsidR="00A76553" w:rsidRDefault="00A76553" w:rsidP="00A76553">
      <w:pPr>
        <w:pStyle w:val="StandardWeb"/>
      </w:pPr>
      <w:r>
        <w:t xml:space="preserve">The Netherlands takes into account best practices for cooperation in cross-border insolvency cases, as set out in principles and guidelines on communication and cooperation adopted by European and international associations active in the area of insolvency law, and in particular the relevant guidelines prepared by UNCITRAL. For the European Union best practices have </w:t>
      </w:r>
      <w:r>
        <w:lastRenderedPageBreak/>
        <w:t>resulted in EU Cross-border Insolvency Court-to-Court Cooperation Principles and Guidelines (also ‘</w:t>
      </w:r>
      <w:proofErr w:type="spellStart"/>
      <w:r>
        <w:t>JudgeCo</w:t>
      </w:r>
      <w:proofErr w:type="spellEnd"/>
      <w:r>
        <w:t>’ Principles and Guidelines. In October 2016 the Judicial Insolvency Network held its inaugural conference in Singapore, which concluded with the issuance of a set of guidelines titled ‘Guidelines for Communication and Cooperation between Courts in Cross-Border Insolvency Matters’ also known as the JIN Guidelines. The JIN Guidelines address key aspects of and the modalities for communication and cooperation amongst courts, insolvency representatives and other parties involved in cross-border insolvency proceedings, including the conduct of joint hearings. On 1 May 2019 the District Court Midden-Nederland adopted its version of these JIN Guidelines.</w:t>
      </w:r>
    </w:p>
    <w:p w:rsidR="00A76553" w:rsidRDefault="00A76553" w:rsidP="00A76553">
      <w:pPr>
        <w:pStyle w:val="StandardWeb"/>
      </w:pPr>
      <w:r>
        <w:t xml:space="preserve">Available via </w:t>
      </w:r>
      <w:hyperlink r:id="rId5" w:history="1">
        <w:r w:rsidRPr="00720AC2">
          <w:rPr>
            <w:rStyle w:val="Hyperlink"/>
          </w:rPr>
          <w:t>https://www.rechtspraak.nl/English/Pages/International-Insolvency.aspx#cb01f363-fd8e-4073-8fe3-1113887a8b5a5a3194d6-d64d-45e7-929b-bc40836492a26</w:t>
        </w:r>
      </w:hyperlink>
    </w:p>
    <w:p w:rsidR="00A76553" w:rsidRDefault="00A76553" w:rsidP="00F42730">
      <w:pPr>
        <w:pStyle w:val="KeinLeerraum"/>
        <w:rPr>
          <w:rFonts w:ascii="Times New Roman" w:hAnsi="Times New Roman"/>
          <w:sz w:val="24"/>
          <w:szCs w:val="24"/>
        </w:rPr>
      </w:pPr>
    </w:p>
    <w:p w:rsidR="00824E65" w:rsidRDefault="00824E65" w:rsidP="00F42730">
      <w:pPr>
        <w:pStyle w:val="KeinLeerraum"/>
        <w:rPr>
          <w:rFonts w:ascii="Times New Roman" w:hAnsi="Times New Roman"/>
          <w:sz w:val="24"/>
          <w:szCs w:val="24"/>
        </w:rPr>
      </w:pPr>
    </w:p>
    <w:sectPr w:rsidR="00824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EHEN M+ Univers">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78D"/>
    <w:multiLevelType w:val="hybridMultilevel"/>
    <w:tmpl w:val="814E0F72"/>
    <w:lvl w:ilvl="0" w:tplc="D3202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1A537A"/>
    <w:multiLevelType w:val="hybridMultilevel"/>
    <w:tmpl w:val="19123AD6"/>
    <w:lvl w:ilvl="0" w:tplc="A106EDC4">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3D36E5"/>
    <w:multiLevelType w:val="hybridMultilevel"/>
    <w:tmpl w:val="1D7EB42E"/>
    <w:lvl w:ilvl="0" w:tplc="C7C688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0B0762"/>
    <w:multiLevelType w:val="multilevel"/>
    <w:tmpl w:val="E1225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93"/>
    <w:rsid w:val="000259E4"/>
    <w:rsid w:val="00035BC9"/>
    <w:rsid w:val="00045036"/>
    <w:rsid w:val="000A49C5"/>
    <w:rsid w:val="001B7631"/>
    <w:rsid w:val="003B5DDD"/>
    <w:rsid w:val="003C289B"/>
    <w:rsid w:val="00542F93"/>
    <w:rsid w:val="0057246D"/>
    <w:rsid w:val="00824E65"/>
    <w:rsid w:val="00862F59"/>
    <w:rsid w:val="009101F0"/>
    <w:rsid w:val="00A76553"/>
    <w:rsid w:val="00C509D4"/>
    <w:rsid w:val="00C63C63"/>
    <w:rsid w:val="00DC2FCD"/>
    <w:rsid w:val="00DC6759"/>
    <w:rsid w:val="00E46EF2"/>
    <w:rsid w:val="00F427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D9986-CD22-4C44-9B92-072DF2CA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42F93"/>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Hervorhebung">
    <w:name w:val="Emphasis"/>
    <w:basedOn w:val="Absatz-Standardschriftart"/>
    <w:uiPriority w:val="20"/>
    <w:qFormat/>
    <w:rsid w:val="00542F93"/>
    <w:rPr>
      <w:i/>
      <w:iCs/>
    </w:rPr>
  </w:style>
  <w:style w:type="character" w:styleId="Fett">
    <w:name w:val="Strong"/>
    <w:basedOn w:val="Absatz-Standardschriftart"/>
    <w:uiPriority w:val="22"/>
    <w:qFormat/>
    <w:rsid w:val="00542F93"/>
    <w:rPr>
      <w:b/>
      <w:bCs/>
    </w:rPr>
  </w:style>
  <w:style w:type="character" w:styleId="Hyperlink">
    <w:name w:val="Hyperlink"/>
    <w:basedOn w:val="Absatz-Standardschriftart"/>
    <w:uiPriority w:val="99"/>
    <w:unhideWhenUsed/>
    <w:rsid w:val="00542F93"/>
    <w:rPr>
      <w:color w:val="0000FF"/>
      <w:u w:val="single"/>
    </w:rPr>
  </w:style>
  <w:style w:type="paragraph" w:styleId="KeinLeerraum">
    <w:name w:val="No Spacing"/>
    <w:uiPriority w:val="1"/>
    <w:qFormat/>
    <w:rsid w:val="00DC2FCD"/>
    <w:pPr>
      <w:spacing w:after="0" w:line="240" w:lineRule="auto"/>
    </w:pPr>
    <w:rPr>
      <w:rFonts w:ascii="Calibri" w:eastAsia="Calibri" w:hAnsi="Calibri" w:cs="Times New Roman"/>
      <w:lang w:val="en-US"/>
    </w:rPr>
  </w:style>
  <w:style w:type="paragraph" w:customStyle="1" w:styleId="Default">
    <w:name w:val="Default"/>
    <w:rsid w:val="00DC2FCD"/>
    <w:pPr>
      <w:autoSpaceDE w:val="0"/>
      <w:autoSpaceDN w:val="0"/>
      <w:adjustRightInd w:val="0"/>
      <w:spacing w:after="0" w:line="240" w:lineRule="auto"/>
    </w:pPr>
    <w:rPr>
      <w:rFonts w:ascii="AEHEN M+ Univers" w:eastAsia="Calibri" w:hAnsi="AEHEN M+ Univers" w:cs="AEHEN M+ Univers"/>
      <w:color w:val="000000"/>
      <w:sz w:val="24"/>
      <w:szCs w:val="24"/>
      <w:lang w:val="en-GB"/>
    </w:rPr>
  </w:style>
  <w:style w:type="character" w:customStyle="1" w:styleId="ol">
    <w:name w:val="ol"/>
    <w:rsid w:val="00DC2FCD"/>
  </w:style>
  <w:style w:type="character" w:customStyle="1" w:styleId="UnresolvedMention">
    <w:name w:val="Unresolved Mention"/>
    <w:basedOn w:val="Absatz-Standardschriftart"/>
    <w:uiPriority w:val="99"/>
    <w:semiHidden/>
    <w:unhideWhenUsed/>
    <w:rsid w:val="00DC6759"/>
    <w:rPr>
      <w:color w:val="605E5C"/>
      <w:shd w:val="clear" w:color="auto" w:fill="E1DFDD"/>
    </w:rPr>
  </w:style>
  <w:style w:type="character" w:customStyle="1" w:styleId="bold">
    <w:name w:val="bold"/>
    <w:basedOn w:val="Absatz-Standardschriftart"/>
    <w:rsid w:val="00DC6759"/>
  </w:style>
  <w:style w:type="character" w:customStyle="1" w:styleId="rnl-file-properties">
    <w:name w:val="rnl-file-properties"/>
    <w:basedOn w:val="Absatz-Standardschriftart"/>
    <w:rsid w:val="00A76553"/>
  </w:style>
  <w:style w:type="character" w:customStyle="1" w:styleId="sr-only">
    <w:name w:val="sr-only"/>
    <w:basedOn w:val="Absatz-Standardschriftart"/>
    <w:rsid w:val="00A7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3935">
      <w:bodyDiv w:val="1"/>
      <w:marLeft w:val="0"/>
      <w:marRight w:val="0"/>
      <w:marTop w:val="0"/>
      <w:marBottom w:val="0"/>
      <w:divBdr>
        <w:top w:val="none" w:sz="0" w:space="0" w:color="auto"/>
        <w:left w:val="none" w:sz="0" w:space="0" w:color="auto"/>
        <w:bottom w:val="none" w:sz="0" w:space="0" w:color="auto"/>
        <w:right w:val="none" w:sz="0" w:space="0" w:color="auto"/>
      </w:divBdr>
    </w:div>
    <w:div w:id="383868088">
      <w:bodyDiv w:val="1"/>
      <w:marLeft w:val="0"/>
      <w:marRight w:val="0"/>
      <w:marTop w:val="0"/>
      <w:marBottom w:val="0"/>
      <w:divBdr>
        <w:top w:val="none" w:sz="0" w:space="0" w:color="auto"/>
        <w:left w:val="none" w:sz="0" w:space="0" w:color="auto"/>
        <w:bottom w:val="none" w:sz="0" w:space="0" w:color="auto"/>
        <w:right w:val="none" w:sz="0" w:space="0" w:color="auto"/>
      </w:divBdr>
      <w:divsChild>
        <w:div w:id="1052533227">
          <w:marLeft w:val="0"/>
          <w:marRight w:val="0"/>
          <w:marTop w:val="0"/>
          <w:marBottom w:val="0"/>
          <w:divBdr>
            <w:top w:val="none" w:sz="0" w:space="0" w:color="auto"/>
            <w:left w:val="none" w:sz="0" w:space="0" w:color="auto"/>
            <w:bottom w:val="none" w:sz="0" w:space="0" w:color="auto"/>
            <w:right w:val="none" w:sz="0" w:space="0" w:color="auto"/>
          </w:divBdr>
        </w:div>
      </w:divsChild>
    </w:div>
    <w:div w:id="1651404235">
      <w:bodyDiv w:val="1"/>
      <w:marLeft w:val="0"/>
      <w:marRight w:val="0"/>
      <w:marTop w:val="0"/>
      <w:marBottom w:val="0"/>
      <w:divBdr>
        <w:top w:val="none" w:sz="0" w:space="0" w:color="auto"/>
        <w:left w:val="none" w:sz="0" w:space="0" w:color="auto"/>
        <w:bottom w:val="none" w:sz="0" w:space="0" w:color="auto"/>
        <w:right w:val="none" w:sz="0" w:space="0" w:color="auto"/>
      </w:divBdr>
    </w:div>
    <w:div w:id="2051421400">
      <w:bodyDiv w:val="1"/>
      <w:marLeft w:val="0"/>
      <w:marRight w:val="0"/>
      <w:marTop w:val="0"/>
      <w:marBottom w:val="0"/>
      <w:divBdr>
        <w:top w:val="none" w:sz="0" w:space="0" w:color="auto"/>
        <w:left w:val="none" w:sz="0" w:space="0" w:color="auto"/>
        <w:bottom w:val="none" w:sz="0" w:space="0" w:color="auto"/>
        <w:right w:val="none" w:sz="0" w:space="0" w:color="auto"/>
      </w:divBdr>
      <w:divsChild>
        <w:div w:id="1921019387">
          <w:marLeft w:val="0"/>
          <w:marRight w:val="0"/>
          <w:marTop w:val="0"/>
          <w:marBottom w:val="0"/>
          <w:divBdr>
            <w:top w:val="none" w:sz="0" w:space="0" w:color="auto"/>
            <w:left w:val="none" w:sz="0" w:space="0" w:color="auto"/>
            <w:bottom w:val="none" w:sz="0" w:space="0" w:color="auto"/>
            <w:right w:val="none" w:sz="0" w:space="0" w:color="auto"/>
          </w:divBdr>
          <w:divsChild>
            <w:div w:id="1276214447">
              <w:marLeft w:val="0"/>
              <w:marRight w:val="0"/>
              <w:marTop w:val="0"/>
              <w:marBottom w:val="0"/>
              <w:divBdr>
                <w:top w:val="none" w:sz="0" w:space="0" w:color="auto"/>
                <w:left w:val="none" w:sz="0" w:space="0" w:color="auto"/>
                <w:bottom w:val="none" w:sz="0" w:space="0" w:color="auto"/>
                <w:right w:val="none" w:sz="0" w:space="0" w:color="auto"/>
              </w:divBdr>
            </w:div>
            <w:div w:id="1930769034">
              <w:marLeft w:val="0"/>
              <w:marRight w:val="0"/>
              <w:marTop w:val="0"/>
              <w:marBottom w:val="0"/>
              <w:divBdr>
                <w:top w:val="none" w:sz="0" w:space="0" w:color="auto"/>
                <w:left w:val="none" w:sz="0" w:space="0" w:color="auto"/>
                <w:bottom w:val="none" w:sz="0" w:space="0" w:color="auto"/>
                <w:right w:val="none" w:sz="0" w:space="0" w:color="auto"/>
              </w:divBdr>
            </w:div>
          </w:divsChild>
        </w:div>
        <w:div w:id="319427635">
          <w:marLeft w:val="0"/>
          <w:marRight w:val="0"/>
          <w:marTop w:val="0"/>
          <w:marBottom w:val="0"/>
          <w:divBdr>
            <w:top w:val="none" w:sz="0" w:space="0" w:color="auto"/>
            <w:left w:val="none" w:sz="0" w:space="0" w:color="auto"/>
            <w:bottom w:val="none" w:sz="0" w:space="0" w:color="auto"/>
            <w:right w:val="none" w:sz="0" w:space="0" w:color="auto"/>
          </w:divBdr>
          <w:divsChild>
            <w:div w:id="1384283337">
              <w:marLeft w:val="0"/>
              <w:marRight w:val="0"/>
              <w:marTop w:val="0"/>
              <w:marBottom w:val="0"/>
              <w:divBdr>
                <w:top w:val="none" w:sz="0" w:space="0" w:color="auto"/>
                <w:left w:val="none" w:sz="0" w:space="0" w:color="auto"/>
                <w:bottom w:val="none" w:sz="0" w:space="0" w:color="auto"/>
                <w:right w:val="none" w:sz="0" w:space="0" w:color="auto"/>
              </w:divBdr>
            </w:div>
            <w:div w:id="1276016547">
              <w:marLeft w:val="0"/>
              <w:marRight w:val="0"/>
              <w:marTop w:val="0"/>
              <w:marBottom w:val="0"/>
              <w:divBdr>
                <w:top w:val="none" w:sz="0" w:space="0" w:color="auto"/>
                <w:left w:val="none" w:sz="0" w:space="0" w:color="auto"/>
                <w:bottom w:val="none" w:sz="0" w:space="0" w:color="auto"/>
                <w:right w:val="none" w:sz="0" w:space="0" w:color="auto"/>
              </w:divBdr>
            </w:div>
            <w:div w:id="1280650029">
              <w:marLeft w:val="0"/>
              <w:marRight w:val="0"/>
              <w:marTop w:val="0"/>
              <w:marBottom w:val="0"/>
              <w:divBdr>
                <w:top w:val="none" w:sz="0" w:space="0" w:color="auto"/>
                <w:left w:val="none" w:sz="0" w:space="0" w:color="auto"/>
                <w:bottom w:val="none" w:sz="0" w:space="0" w:color="auto"/>
                <w:right w:val="none" w:sz="0" w:space="0" w:color="auto"/>
              </w:divBdr>
            </w:div>
            <w:div w:id="12612459">
              <w:marLeft w:val="0"/>
              <w:marRight w:val="0"/>
              <w:marTop w:val="0"/>
              <w:marBottom w:val="0"/>
              <w:divBdr>
                <w:top w:val="none" w:sz="0" w:space="0" w:color="auto"/>
                <w:left w:val="none" w:sz="0" w:space="0" w:color="auto"/>
                <w:bottom w:val="none" w:sz="0" w:space="0" w:color="auto"/>
                <w:right w:val="none" w:sz="0" w:space="0" w:color="auto"/>
              </w:divBdr>
            </w:div>
            <w:div w:id="1936791921">
              <w:marLeft w:val="0"/>
              <w:marRight w:val="0"/>
              <w:marTop w:val="0"/>
              <w:marBottom w:val="0"/>
              <w:divBdr>
                <w:top w:val="none" w:sz="0" w:space="0" w:color="auto"/>
                <w:left w:val="none" w:sz="0" w:space="0" w:color="auto"/>
                <w:bottom w:val="none" w:sz="0" w:space="0" w:color="auto"/>
                <w:right w:val="none" w:sz="0" w:space="0" w:color="auto"/>
              </w:divBdr>
            </w:div>
            <w:div w:id="1244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chtspraak.nl/English/Pages/International-Insolvency.aspx#cb01f363-fd8e-4073-8fe3-1113887a8b5a5a3194d6-d64d-45e7-929b-bc40836492a2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7219</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Wessels</dc:creator>
  <cp:keywords/>
  <dc:description/>
  <cp:lastModifiedBy>kpfolk1</cp:lastModifiedBy>
  <cp:revision>2</cp:revision>
  <dcterms:created xsi:type="dcterms:W3CDTF">2019-07-02T11:10:00Z</dcterms:created>
  <dcterms:modified xsi:type="dcterms:W3CDTF">2019-07-02T11:10:00Z</dcterms:modified>
</cp:coreProperties>
</file>